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2A" w:rsidRPr="00470CA7" w:rsidRDefault="008C59B1" w:rsidP="008C59B1">
      <w:pPr>
        <w:spacing w:after="0" w:line="240" w:lineRule="auto"/>
        <w:ind w:left="360"/>
        <w:jc w:val="center"/>
        <w:rPr>
          <w:b/>
          <w:sz w:val="28"/>
        </w:rPr>
      </w:pPr>
      <w:bookmarkStart w:id="0" w:name="_GoBack"/>
      <w:bookmarkEnd w:id="0"/>
      <w:r w:rsidRPr="00470CA7">
        <w:rPr>
          <w:b/>
          <w:sz w:val="28"/>
        </w:rPr>
        <w:t>Overview: Small Practice Shared Services Focus Groups</w:t>
      </w:r>
    </w:p>
    <w:p w:rsidR="00470CA7" w:rsidRPr="00470CA7" w:rsidRDefault="00470CA7" w:rsidP="008C59B1">
      <w:pPr>
        <w:spacing w:after="0" w:line="240" w:lineRule="auto"/>
        <w:ind w:left="360"/>
        <w:jc w:val="center"/>
        <w:rPr>
          <w:b/>
          <w:sz w:val="14"/>
        </w:rPr>
      </w:pPr>
    </w:p>
    <w:p w:rsidR="00A66589" w:rsidRPr="007504F3" w:rsidRDefault="00EF5F2A" w:rsidP="005F303A">
      <w:pPr>
        <w:spacing w:before="120" w:after="0" w:line="240" w:lineRule="auto"/>
      </w:pPr>
      <w:r w:rsidRPr="007504F3">
        <w:rPr>
          <w:b/>
          <w:u w:val="single"/>
        </w:rPr>
        <w:t>Purpose:</w:t>
      </w:r>
      <w:r w:rsidR="00722576" w:rsidRPr="007504F3">
        <w:rPr>
          <w:b/>
        </w:rPr>
        <w:t xml:space="preserve">  </w:t>
      </w:r>
      <w:r w:rsidR="00312132" w:rsidRPr="007504F3">
        <w:t xml:space="preserve">There are major </w:t>
      </w:r>
      <w:r w:rsidR="00722576" w:rsidRPr="007504F3">
        <w:t>changes underway for primary care</w:t>
      </w:r>
      <w:r w:rsidR="00312132" w:rsidRPr="007504F3">
        <w:t xml:space="preserve"> in New York City</w:t>
      </w:r>
      <w:r w:rsidR="00722576" w:rsidRPr="007504F3">
        <w:t xml:space="preserve">, </w:t>
      </w:r>
      <w:r w:rsidR="00A66589" w:rsidRPr="007504F3">
        <w:t>including substantial state and federal funding for practice transformation, to assist primary care practices to become higher-performing medical homes</w:t>
      </w:r>
      <w:r w:rsidR="00470CA7" w:rsidRPr="007504F3">
        <w:t>;</w:t>
      </w:r>
      <w:r w:rsidR="00A66589" w:rsidRPr="007504F3">
        <w:t xml:space="preserve"> and a major shift in payment for health care services</w:t>
      </w:r>
      <w:r w:rsidR="00722576" w:rsidRPr="007504F3">
        <w:t xml:space="preserve"> towards value-based payment based on performance across quality, cost savings, and other factors</w:t>
      </w:r>
      <w:r w:rsidR="004B5BB9" w:rsidRPr="007504F3">
        <w:t>. The</w:t>
      </w:r>
      <w:r w:rsidR="00A66589" w:rsidRPr="007504F3">
        <w:t xml:space="preserve">se changes are challenging for </w:t>
      </w:r>
      <w:r w:rsidR="00722576" w:rsidRPr="007504F3">
        <w:t xml:space="preserve">primary care providers </w:t>
      </w:r>
      <w:r w:rsidR="00A66589" w:rsidRPr="007504F3">
        <w:t>in small practices.</w:t>
      </w:r>
    </w:p>
    <w:p w:rsidR="00845FD0" w:rsidRPr="007504F3" w:rsidRDefault="00A840C3" w:rsidP="005F303A">
      <w:pPr>
        <w:spacing w:before="120" w:after="0" w:line="240" w:lineRule="auto"/>
      </w:pPr>
      <w:r w:rsidRPr="007504F3">
        <w:t xml:space="preserve">To </w:t>
      </w:r>
      <w:r w:rsidR="00A66589" w:rsidRPr="007504F3">
        <w:t xml:space="preserve">function as medical homes, and to </w:t>
      </w:r>
      <w:r w:rsidRPr="007504F3">
        <w:t>participate in new payment models</w:t>
      </w:r>
      <w:r w:rsidR="00A66589" w:rsidRPr="007504F3">
        <w:t>,</w:t>
      </w:r>
      <w:r w:rsidRPr="007504F3">
        <w:t xml:space="preserve"> providers must have certain</w:t>
      </w:r>
      <w:r w:rsidR="00722576" w:rsidRPr="007504F3">
        <w:t xml:space="preserve"> capacities that come with </w:t>
      </w:r>
      <w:r w:rsidRPr="007504F3">
        <w:t>scale</w:t>
      </w:r>
      <w:r w:rsidR="00A66589" w:rsidRPr="007504F3">
        <w:t xml:space="preserve">. </w:t>
      </w:r>
      <w:r w:rsidRPr="007504F3">
        <w:t xml:space="preserve">40% of the City’s primary care providers work in small practices </w:t>
      </w:r>
      <w:r w:rsidR="00A66589" w:rsidRPr="007504F3">
        <w:t>that lack the</w:t>
      </w:r>
      <w:r w:rsidRPr="007504F3">
        <w:t xml:space="preserve"> scale</w:t>
      </w:r>
      <w:r w:rsidR="00A66589" w:rsidRPr="007504F3">
        <w:t xml:space="preserve"> required to hire and support </w:t>
      </w:r>
      <w:r w:rsidR="00845FD0" w:rsidRPr="007504F3">
        <w:t>the staff and services required</w:t>
      </w:r>
      <w:r w:rsidR="00A66589" w:rsidRPr="007504F3">
        <w:t xml:space="preserve">. As part of the NYC-PHIP planning process, </w:t>
      </w:r>
      <w:r w:rsidR="00845FD0" w:rsidRPr="007504F3">
        <w:t xml:space="preserve">there was a proposal to organize those functions – capacities that a small practice may need, but cannot afford on their own – as shared services. </w:t>
      </w:r>
    </w:p>
    <w:p w:rsidR="003F6249" w:rsidRDefault="00B122C0" w:rsidP="005F303A">
      <w:pPr>
        <w:spacing w:before="120" w:after="0" w:line="240" w:lineRule="auto"/>
      </w:pPr>
      <w:r w:rsidRPr="007504F3">
        <w:rPr>
          <w:b/>
          <w:u w:val="single"/>
        </w:rPr>
        <w:t>Focus Groups</w:t>
      </w:r>
      <w:r w:rsidR="00722576" w:rsidRPr="007504F3">
        <w:rPr>
          <w:b/>
          <w:u w:val="single"/>
        </w:rPr>
        <w:t>:</w:t>
      </w:r>
      <w:r w:rsidRPr="007504F3">
        <w:rPr>
          <w:b/>
          <w:u w:val="single"/>
        </w:rPr>
        <w:t xml:space="preserve"> </w:t>
      </w:r>
      <w:r w:rsidR="00BD5DFE" w:rsidRPr="007504F3">
        <w:t>In June</w:t>
      </w:r>
      <w:r w:rsidR="003F6249" w:rsidRPr="007504F3">
        <w:t xml:space="preserve"> and July</w:t>
      </w:r>
      <w:r w:rsidR="00BD5DFE" w:rsidRPr="007504F3">
        <w:t xml:space="preserve">, 2016, the NYC PHIP partnered with the state’s three primary care specialty societies (NYACP, NYAFP, NYAAP) on two efforts focused on better understanding the perceptions of physicians in small practices regarding their needs and the potential value of a shared services approach. In mid-June, NYACP designed a web-based survey which </w:t>
      </w:r>
      <w:r w:rsidR="003F6249" w:rsidRPr="007504F3">
        <w:t>the</w:t>
      </w:r>
      <w:r w:rsidR="00BD5DFE" w:rsidRPr="007504F3">
        <w:t xml:space="preserve"> three societies conducted among their NYC-based members, and tabulated the results. </w:t>
      </w:r>
    </w:p>
    <w:p w:rsidR="00722576" w:rsidRPr="007504F3" w:rsidRDefault="00BD5DFE" w:rsidP="005F303A">
      <w:pPr>
        <w:spacing w:before="120" w:after="0" w:line="240" w:lineRule="auto"/>
      </w:pPr>
      <w:r w:rsidRPr="007504F3">
        <w:t>This then helped frame the agenda for a series of</w:t>
      </w:r>
      <w:r w:rsidR="00A66589" w:rsidRPr="007504F3">
        <w:t xml:space="preserve"> </w:t>
      </w:r>
      <w:r w:rsidR="00B122C0" w:rsidRPr="007504F3">
        <w:t>focus groups</w:t>
      </w:r>
      <w:r w:rsidR="003F6249" w:rsidRPr="007504F3">
        <w:t xml:space="preserve"> held</w:t>
      </w:r>
      <w:r w:rsidR="00B122C0" w:rsidRPr="007504F3">
        <w:t xml:space="preserve"> in each of the</w:t>
      </w:r>
      <w:r w:rsidR="00A66589" w:rsidRPr="007504F3">
        <w:t xml:space="preserve"> City’s five</w:t>
      </w:r>
      <w:r w:rsidR="00B122C0" w:rsidRPr="007504F3">
        <w:t xml:space="preserve"> boroughs</w:t>
      </w:r>
      <w:r w:rsidRPr="007504F3">
        <w:t xml:space="preserve"> (participants invited by the three specialty societies and the respective county medical societies</w:t>
      </w:r>
      <w:r w:rsidR="003F6249" w:rsidRPr="007504F3">
        <w:t>)</w:t>
      </w:r>
      <w:r w:rsidR="00845FD0" w:rsidRPr="007504F3">
        <w:t xml:space="preserve"> to “market-test” the idea of shared services with representatives of small practices. </w:t>
      </w:r>
      <w:r w:rsidR="00811D92" w:rsidRPr="007504F3">
        <w:t xml:space="preserve">Over 50 providers and office staff attended the meetings. </w:t>
      </w:r>
    </w:p>
    <w:p w:rsidR="003F6249" w:rsidRDefault="00722576" w:rsidP="00845FD0">
      <w:pPr>
        <w:spacing w:before="120" w:after="0" w:line="240" w:lineRule="auto"/>
      </w:pPr>
      <w:r w:rsidRPr="007504F3">
        <w:rPr>
          <w:b/>
          <w:u w:val="single"/>
        </w:rPr>
        <w:t>Common Themes</w:t>
      </w:r>
      <w:r w:rsidRPr="007504F3">
        <w:rPr>
          <w:b/>
        </w:rPr>
        <w:t>:</w:t>
      </w:r>
      <w:r w:rsidR="00B122C0" w:rsidRPr="007504F3">
        <w:rPr>
          <w:b/>
        </w:rPr>
        <w:t xml:space="preserve"> </w:t>
      </w:r>
      <w:r w:rsidR="00B122C0" w:rsidRPr="007504F3">
        <w:t>Across all the boroughs, providers indicated a need for one, or more, of t</w:t>
      </w:r>
      <w:r w:rsidR="00811D92" w:rsidRPr="007504F3">
        <w:t>he shared services discussed at the meetings</w:t>
      </w:r>
      <w:r w:rsidR="00B122C0" w:rsidRPr="007504F3">
        <w:t xml:space="preserve">. The full suite of services that surfaced </w:t>
      </w:r>
      <w:r w:rsidR="005F30AB" w:rsidRPr="007504F3">
        <w:t xml:space="preserve">from the discussions is </w:t>
      </w:r>
      <w:r w:rsidR="00B122C0" w:rsidRPr="007504F3">
        <w:t>listed</w:t>
      </w:r>
      <w:r w:rsidR="00811D92" w:rsidRPr="007504F3">
        <w:t xml:space="preserve"> on the next page. Many participants </w:t>
      </w:r>
      <w:r w:rsidR="003F6249" w:rsidRPr="007504F3">
        <w:t>were concerned that</w:t>
      </w:r>
      <w:r w:rsidR="003F6249">
        <w:t xml:space="preserve"> </w:t>
      </w:r>
      <w:r w:rsidR="003F6249" w:rsidRPr="007504F3">
        <w:t>small,</w:t>
      </w:r>
      <w:r w:rsidR="00811D92" w:rsidRPr="007504F3">
        <w:t xml:space="preserve"> independent primary care practices </w:t>
      </w:r>
      <w:r w:rsidR="003F6249" w:rsidRPr="007504F3">
        <w:t>did not have a place</w:t>
      </w:r>
      <w:r w:rsidR="00811D92" w:rsidRPr="007504F3">
        <w:t xml:space="preserve"> in the new payment environment</w:t>
      </w:r>
      <w:r w:rsidR="003F6249" w:rsidRPr="007504F3">
        <w:t>;</w:t>
      </w:r>
      <w:r w:rsidR="00811D92" w:rsidRPr="007504F3">
        <w:t xml:space="preserve"> and </w:t>
      </w:r>
      <w:r w:rsidR="003F6249" w:rsidRPr="007504F3">
        <w:t xml:space="preserve">they </w:t>
      </w:r>
      <w:r w:rsidR="00811D92" w:rsidRPr="007504F3">
        <w:t xml:space="preserve">felt that </w:t>
      </w:r>
      <w:r w:rsidR="003F6249" w:rsidRPr="007504F3">
        <w:t xml:space="preserve">a range of </w:t>
      </w:r>
      <w:r w:rsidR="00811D92" w:rsidRPr="007504F3">
        <w:t xml:space="preserve">shared services could be very helpful in not only providing better care for the patients, but ensuring their ability to compete in a value-based payment environment. </w:t>
      </w:r>
    </w:p>
    <w:p w:rsidR="005F30AB" w:rsidRPr="007504F3" w:rsidRDefault="00845FD0" w:rsidP="00845FD0">
      <w:pPr>
        <w:spacing w:before="120" w:after="0" w:line="240" w:lineRule="auto"/>
        <w:rPr>
          <w:b/>
        </w:rPr>
      </w:pPr>
      <w:r w:rsidRPr="007504F3">
        <w:t>Common concerns noted</w:t>
      </w:r>
      <w:r w:rsidR="003F6249">
        <w:t xml:space="preserve"> included</w:t>
      </w:r>
      <w:r w:rsidRPr="007504F3">
        <w:t>: added c</w:t>
      </w:r>
      <w:r w:rsidR="00843B08" w:rsidRPr="007504F3">
        <w:t>osts</w:t>
      </w:r>
      <w:r w:rsidRPr="007504F3">
        <w:t xml:space="preserve"> in the absence of new revenues</w:t>
      </w:r>
      <w:r w:rsidR="00843B08" w:rsidRPr="007504F3">
        <w:t xml:space="preserve">, preserving </w:t>
      </w:r>
      <w:r w:rsidR="003F6249">
        <w:t xml:space="preserve">their </w:t>
      </w:r>
      <w:r w:rsidR="00843B08" w:rsidRPr="007504F3">
        <w:t xml:space="preserve">independence, </w:t>
      </w:r>
      <w:r w:rsidRPr="007504F3">
        <w:t xml:space="preserve">the importance of </w:t>
      </w:r>
      <w:r w:rsidR="00843B08" w:rsidRPr="007504F3">
        <w:t>trust</w:t>
      </w:r>
      <w:r w:rsidRPr="007504F3">
        <w:t>.</w:t>
      </w:r>
    </w:p>
    <w:p w:rsidR="005F303A" w:rsidRPr="007504F3" w:rsidRDefault="005F303A" w:rsidP="005F303A">
      <w:pPr>
        <w:spacing w:before="120" w:after="0" w:line="240" w:lineRule="auto"/>
        <w:rPr>
          <w:b/>
          <w:u w:val="single"/>
        </w:rPr>
      </w:pPr>
      <w:r w:rsidRPr="007504F3">
        <w:rPr>
          <w:b/>
          <w:u w:val="single"/>
        </w:rPr>
        <w:t>Potential Opportunities</w:t>
      </w:r>
      <w:r w:rsidR="00845FD0" w:rsidRPr="007504F3">
        <w:t>: The following were noted as the type of services providers in small practices often need</w:t>
      </w:r>
      <w:r w:rsidR="00470CA7" w:rsidRPr="007504F3">
        <w:t>, which they could potentially share</w:t>
      </w:r>
      <w:r w:rsidR="00845FD0" w:rsidRPr="007504F3">
        <w:t>:</w:t>
      </w:r>
      <w:r w:rsidRPr="007504F3">
        <w:rPr>
          <w:b/>
          <w:u w:val="single"/>
        </w:rPr>
        <w:t xml:space="preserve"> </w:t>
      </w:r>
    </w:p>
    <w:p w:rsidR="005F303A" w:rsidRPr="007504F3" w:rsidRDefault="005F303A" w:rsidP="00470CA7">
      <w:pPr>
        <w:pStyle w:val="ListParagraph"/>
        <w:numPr>
          <w:ilvl w:val="0"/>
          <w:numId w:val="1"/>
        </w:numPr>
        <w:spacing w:before="80" w:after="0" w:line="240" w:lineRule="auto"/>
        <w:contextualSpacing w:val="0"/>
        <w:rPr>
          <w:b/>
          <w:u w:val="single"/>
        </w:rPr>
      </w:pPr>
      <w:r w:rsidRPr="007504F3">
        <w:rPr>
          <w:b/>
          <w:u w:val="single"/>
        </w:rPr>
        <w:t>Health Information Technologies</w:t>
      </w:r>
    </w:p>
    <w:p w:rsidR="005F303A" w:rsidRPr="007504F3" w:rsidRDefault="005F303A" w:rsidP="00470CA7">
      <w:pPr>
        <w:pStyle w:val="ListParagraph"/>
        <w:numPr>
          <w:ilvl w:val="1"/>
          <w:numId w:val="1"/>
        </w:numPr>
        <w:spacing w:before="80" w:after="0" w:line="240" w:lineRule="auto"/>
        <w:contextualSpacing w:val="0"/>
      </w:pPr>
      <w:r w:rsidRPr="007504F3">
        <w:t xml:space="preserve">Electronic Health Record acquisition and optimization / use </w:t>
      </w:r>
    </w:p>
    <w:p w:rsidR="005F303A" w:rsidRPr="007504F3" w:rsidRDefault="005F303A" w:rsidP="00470CA7">
      <w:pPr>
        <w:pStyle w:val="ListParagraph"/>
        <w:numPr>
          <w:ilvl w:val="1"/>
          <w:numId w:val="1"/>
        </w:numPr>
        <w:spacing w:before="80" w:after="0" w:line="240" w:lineRule="auto"/>
        <w:contextualSpacing w:val="0"/>
      </w:pPr>
      <w:r w:rsidRPr="007504F3">
        <w:t>Electronic Health Record maintenance and technical assistance</w:t>
      </w:r>
    </w:p>
    <w:p w:rsidR="005F303A" w:rsidRPr="007504F3" w:rsidRDefault="005F303A" w:rsidP="00470CA7">
      <w:pPr>
        <w:pStyle w:val="ListParagraph"/>
        <w:numPr>
          <w:ilvl w:val="1"/>
          <w:numId w:val="1"/>
        </w:numPr>
        <w:spacing w:before="80" w:after="0" w:line="240" w:lineRule="auto"/>
        <w:contextualSpacing w:val="0"/>
      </w:pPr>
      <w:r w:rsidRPr="007504F3">
        <w:t>Registry setup and management (see care mgmt., below)</w:t>
      </w:r>
    </w:p>
    <w:p w:rsidR="005F303A" w:rsidRPr="007504F3" w:rsidRDefault="005F303A" w:rsidP="00470CA7">
      <w:pPr>
        <w:pStyle w:val="ListParagraph"/>
        <w:numPr>
          <w:ilvl w:val="1"/>
          <w:numId w:val="1"/>
        </w:numPr>
        <w:spacing w:before="80" w:after="0" w:line="240" w:lineRule="auto"/>
        <w:contextualSpacing w:val="0"/>
      </w:pPr>
      <w:r w:rsidRPr="007504F3">
        <w:t>Regional Health Information Organization (RHIO) connection and use</w:t>
      </w:r>
    </w:p>
    <w:p w:rsidR="005F303A" w:rsidRPr="007504F3" w:rsidRDefault="005F303A" w:rsidP="00470CA7">
      <w:pPr>
        <w:pStyle w:val="ListParagraph"/>
        <w:numPr>
          <w:ilvl w:val="0"/>
          <w:numId w:val="1"/>
        </w:numPr>
        <w:spacing w:before="80" w:after="0" w:line="240" w:lineRule="auto"/>
        <w:contextualSpacing w:val="0"/>
        <w:rPr>
          <w:b/>
          <w:u w:val="single"/>
        </w:rPr>
      </w:pPr>
      <w:r w:rsidRPr="007504F3">
        <w:rPr>
          <w:b/>
          <w:u w:val="single"/>
        </w:rPr>
        <w:t>Technical / Administrative Services</w:t>
      </w:r>
    </w:p>
    <w:p w:rsidR="005F303A" w:rsidRPr="007504F3" w:rsidRDefault="005F303A" w:rsidP="00470CA7">
      <w:pPr>
        <w:pStyle w:val="ListParagraph"/>
        <w:numPr>
          <w:ilvl w:val="0"/>
          <w:numId w:val="2"/>
        </w:numPr>
        <w:spacing w:before="80" w:after="0" w:line="240" w:lineRule="auto"/>
        <w:contextualSpacing w:val="0"/>
      </w:pPr>
      <w:r w:rsidRPr="007504F3">
        <w:t>Managing Costs: Group purchasing of business supplies or other services</w:t>
      </w:r>
    </w:p>
    <w:p w:rsidR="005F303A" w:rsidRPr="007504F3" w:rsidRDefault="005F303A" w:rsidP="00470CA7">
      <w:pPr>
        <w:pStyle w:val="ListParagraph"/>
        <w:numPr>
          <w:ilvl w:val="0"/>
          <w:numId w:val="2"/>
        </w:numPr>
        <w:spacing w:before="80" w:after="0" w:line="240" w:lineRule="auto"/>
        <w:contextualSpacing w:val="0"/>
      </w:pPr>
      <w:r w:rsidRPr="007504F3">
        <w:t>Enhancing Revenues: Consultation/assistance in pursuing revenue opportunities</w:t>
      </w:r>
    </w:p>
    <w:p w:rsidR="003F6249" w:rsidRDefault="005F303A" w:rsidP="007504F3">
      <w:pPr>
        <w:pStyle w:val="ListParagraph"/>
        <w:numPr>
          <w:ilvl w:val="0"/>
          <w:numId w:val="2"/>
        </w:numPr>
        <w:spacing w:before="80" w:after="0" w:line="240" w:lineRule="auto"/>
        <w:contextualSpacing w:val="0"/>
      </w:pPr>
      <w:r w:rsidRPr="007504F3">
        <w:t>Workforce development / staff training</w:t>
      </w:r>
    </w:p>
    <w:p w:rsidR="003F6249" w:rsidRPr="007504F3" w:rsidRDefault="003F6249" w:rsidP="007504F3">
      <w:pPr>
        <w:spacing w:before="80" w:after="0" w:line="240" w:lineRule="auto"/>
        <w:ind w:left="1080"/>
      </w:pPr>
    </w:p>
    <w:p w:rsidR="005F303A" w:rsidRPr="007504F3" w:rsidRDefault="005F303A" w:rsidP="00470CA7">
      <w:pPr>
        <w:pStyle w:val="ListParagraph"/>
        <w:numPr>
          <w:ilvl w:val="0"/>
          <w:numId w:val="1"/>
        </w:numPr>
        <w:spacing w:before="80" w:after="0" w:line="240" w:lineRule="auto"/>
        <w:contextualSpacing w:val="0"/>
        <w:rPr>
          <w:b/>
          <w:u w:val="single"/>
        </w:rPr>
      </w:pPr>
      <w:r w:rsidRPr="007504F3">
        <w:rPr>
          <w:b/>
          <w:u w:val="single"/>
        </w:rPr>
        <w:lastRenderedPageBreak/>
        <w:t>PCMH/VBP Support</w:t>
      </w:r>
    </w:p>
    <w:p w:rsidR="005F303A" w:rsidRPr="007504F3" w:rsidRDefault="005F303A" w:rsidP="00470CA7">
      <w:pPr>
        <w:pStyle w:val="ListParagraph"/>
        <w:numPr>
          <w:ilvl w:val="1"/>
          <w:numId w:val="1"/>
        </w:numPr>
        <w:spacing w:before="80" w:after="0" w:line="240" w:lineRule="auto"/>
        <w:contextualSpacing w:val="0"/>
      </w:pPr>
      <w:r w:rsidRPr="007504F3">
        <w:t>Claims data analytics (for analysis, reporting; and to guide QI action)</w:t>
      </w:r>
    </w:p>
    <w:p w:rsidR="005F303A" w:rsidRPr="007504F3" w:rsidRDefault="005F303A" w:rsidP="00470CA7">
      <w:pPr>
        <w:pStyle w:val="ListParagraph"/>
        <w:numPr>
          <w:ilvl w:val="1"/>
          <w:numId w:val="1"/>
        </w:numPr>
        <w:spacing w:before="80" w:after="0" w:line="240" w:lineRule="auto"/>
        <w:contextualSpacing w:val="0"/>
      </w:pPr>
      <w:r w:rsidRPr="007504F3">
        <w:t>Data aggregation to ensure adequate patient population for VBP</w:t>
      </w:r>
    </w:p>
    <w:p w:rsidR="005F303A" w:rsidRPr="007504F3" w:rsidRDefault="005F303A" w:rsidP="00470CA7">
      <w:pPr>
        <w:pStyle w:val="ListParagraph"/>
        <w:numPr>
          <w:ilvl w:val="1"/>
          <w:numId w:val="1"/>
        </w:numPr>
        <w:spacing w:before="80" w:after="0" w:line="240" w:lineRule="auto"/>
        <w:contextualSpacing w:val="0"/>
      </w:pPr>
      <w:r w:rsidRPr="007504F3">
        <w:t>Documenting/reporting quality and utilization measures/outcomes</w:t>
      </w:r>
    </w:p>
    <w:p w:rsidR="005F303A" w:rsidRPr="007504F3" w:rsidRDefault="005F303A" w:rsidP="00470CA7">
      <w:pPr>
        <w:pStyle w:val="ListParagraph"/>
        <w:numPr>
          <w:ilvl w:val="1"/>
          <w:numId w:val="1"/>
        </w:numPr>
        <w:spacing w:before="80" w:after="0" w:line="240" w:lineRule="auto"/>
        <w:contextualSpacing w:val="0"/>
      </w:pPr>
      <w:r w:rsidRPr="007504F3">
        <w:t xml:space="preserve">Billing documentation – specifically to demonstrate activities to meet CCM or other bundled service codes </w:t>
      </w:r>
    </w:p>
    <w:p w:rsidR="005F303A" w:rsidRPr="007504F3" w:rsidRDefault="005F303A" w:rsidP="00470CA7">
      <w:pPr>
        <w:pStyle w:val="ListParagraph"/>
        <w:numPr>
          <w:ilvl w:val="0"/>
          <w:numId w:val="1"/>
        </w:numPr>
        <w:spacing w:before="80" w:after="0" w:line="240" w:lineRule="auto"/>
        <w:contextualSpacing w:val="0"/>
        <w:rPr>
          <w:b/>
          <w:u w:val="single"/>
        </w:rPr>
      </w:pPr>
      <w:r w:rsidRPr="007504F3">
        <w:rPr>
          <w:b/>
          <w:u w:val="single"/>
        </w:rPr>
        <w:t>Quality improvement staff and services</w:t>
      </w:r>
    </w:p>
    <w:p w:rsidR="005F303A" w:rsidRPr="007504F3" w:rsidRDefault="005F303A" w:rsidP="00470CA7">
      <w:pPr>
        <w:pStyle w:val="ListParagraph"/>
        <w:numPr>
          <w:ilvl w:val="1"/>
          <w:numId w:val="1"/>
        </w:numPr>
        <w:spacing w:before="80" w:after="0" w:line="240" w:lineRule="auto"/>
        <w:contextualSpacing w:val="0"/>
      </w:pPr>
      <w:r w:rsidRPr="007504F3">
        <w:t>Shared staff to support quality improvement</w:t>
      </w:r>
    </w:p>
    <w:p w:rsidR="005F303A" w:rsidRPr="007504F3" w:rsidRDefault="005F303A" w:rsidP="00470CA7">
      <w:pPr>
        <w:pStyle w:val="ListParagraph"/>
        <w:numPr>
          <w:ilvl w:val="1"/>
          <w:numId w:val="1"/>
        </w:numPr>
        <w:spacing w:before="80" w:after="0" w:line="240" w:lineRule="auto"/>
        <w:contextualSpacing w:val="0"/>
      </w:pPr>
      <w:r w:rsidRPr="007504F3">
        <w:t xml:space="preserve">Shared QI, learning </w:t>
      </w:r>
      <w:proofErr w:type="spellStart"/>
      <w:r w:rsidRPr="007504F3">
        <w:t>collaboratives</w:t>
      </w:r>
      <w:proofErr w:type="spellEnd"/>
      <w:r w:rsidRPr="007504F3">
        <w:t>, sharing best practices</w:t>
      </w:r>
    </w:p>
    <w:p w:rsidR="005F303A" w:rsidRPr="007504F3" w:rsidRDefault="005F303A" w:rsidP="00470CA7">
      <w:pPr>
        <w:pStyle w:val="ListParagraph"/>
        <w:numPr>
          <w:ilvl w:val="1"/>
          <w:numId w:val="1"/>
        </w:numPr>
        <w:spacing w:before="80" w:after="0" w:line="240" w:lineRule="auto"/>
        <w:contextualSpacing w:val="0"/>
      </w:pPr>
      <w:r w:rsidRPr="007504F3">
        <w:t xml:space="preserve">Aggregating quality measures and outcomes, across participating practices </w:t>
      </w:r>
    </w:p>
    <w:p w:rsidR="005F303A" w:rsidRPr="007504F3" w:rsidRDefault="005F303A" w:rsidP="00470CA7">
      <w:pPr>
        <w:pStyle w:val="ListParagraph"/>
        <w:numPr>
          <w:ilvl w:val="0"/>
          <w:numId w:val="1"/>
        </w:numPr>
        <w:spacing w:before="80" w:after="0" w:line="240" w:lineRule="auto"/>
        <w:contextualSpacing w:val="0"/>
        <w:rPr>
          <w:b/>
          <w:u w:val="single"/>
        </w:rPr>
      </w:pPr>
      <w:r w:rsidRPr="007504F3">
        <w:rPr>
          <w:b/>
          <w:u w:val="single"/>
        </w:rPr>
        <w:t xml:space="preserve">Shared professional staff who interact with patients </w:t>
      </w:r>
    </w:p>
    <w:p w:rsidR="005F303A" w:rsidRPr="007504F3" w:rsidRDefault="005F303A" w:rsidP="007504F3">
      <w:pPr>
        <w:pStyle w:val="ListParagraph"/>
        <w:numPr>
          <w:ilvl w:val="0"/>
          <w:numId w:val="4"/>
        </w:numPr>
        <w:spacing w:before="40" w:after="0" w:line="240" w:lineRule="auto"/>
        <w:contextualSpacing w:val="0"/>
      </w:pPr>
      <w:r w:rsidRPr="007504F3">
        <w:t>Nutritionists/diabetes educators</w:t>
      </w:r>
    </w:p>
    <w:p w:rsidR="005F303A" w:rsidRPr="007504F3" w:rsidRDefault="005F303A" w:rsidP="007504F3">
      <w:pPr>
        <w:pStyle w:val="ListParagraph"/>
        <w:numPr>
          <w:ilvl w:val="0"/>
          <w:numId w:val="4"/>
        </w:numPr>
        <w:spacing w:before="40" w:after="0" w:line="240" w:lineRule="auto"/>
        <w:contextualSpacing w:val="0"/>
      </w:pPr>
      <w:r w:rsidRPr="007504F3">
        <w:t>Behavioral health professionals</w:t>
      </w:r>
    </w:p>
    <w:p w:rsidR="005F303A" w:rsidRPr="007504F3" w:rsidRDefault="005F303A" w:rsidP="007504F3">
      <w:pPr>
        <w:pStyle w:val="ListParagraph"/>
        <w:numPr>
          <w:ilvl w:val="0"/>
          <w:numId w:val="4"/>
        </w:numPr>
        <w:spacing w:before="40" w:after="0" w:line="240" w:lineRule="auto"/>
        <w:contextualSpacing w:val="0"/>
      </w:pPr>
      <w:r w:rsidRPr="007504F3">
        <w:t>Care Coordination</w:t>
      </w:r>
    </w:p>
    <w:p w:rsidR="005F303A" w:rsidRPr="007504F3" w:rsidRDefault="005F303A" w:rsidP="007504F3">
      <w:pPr>
        <w:pStyle w:val="ListParagraph"/>
        <w:numPr>
          <w:ilvl w:val="0"/>
          <w:numId w:val="4"/>
        </w:numPr>
        <w:spacing w:before="40" w:after="0" w:line="240" w:lineRule="auto"/>
        <w:contextualSpacing w:val="0"/>
      </w:pPr>
      <w:r w:rsidRPr="007504F3">
        <w:t>Care management</w:t>
      </w:r>
    </w:p>
    <w:p w:rsidR="005F303A" w:rsidRPr="007504F3" w:rsidRDefault="005F303A" w:rsidP="007504F3">
      <w:pPr>
        <w:pStyle w:val="ListParagraph"/>
        <w:numPr>
          <w:ilvl w:val="0"/>
          <w:numId w:val="4"/>
        </w:numPr>
        <w:spacing w:before="40" w:after="0" w:line="240" w:lineRule="auto"/>
        <w:contextualSpacing w:val="0"/>
      </w:pPr>
      <w:r w:rsidRPr="007504F3">
        <w:t>Patient engagement and outreach</w:t>
      </w:r>
    </w:p>
    <w:p w:rsidR="00722576" w:rsidRPr="007504F3" w:rsidRDefault="005F303A" w:rsidP="005F303A">
      <w:pPr>
        <w:spacing w:before="120" w:after="0" w:line="240" w:lineRule="auto"/>
      </w:pPr>
      <w:r w:rsidRPr="007504F3">
        <w:rPr>
          <w:b/>
          <w:u w:val="single"/>
        </w:rPr>
        <w:t>How Services Could Be Organized and Provided:</w:t>
      </w:r>
      <w:r w:rsidR="008C59B1" w:rsidRPr="007504F3">
        <w:rPr>
          <w:u w:val="single"/>
        </w:rPr>
        <w:t xml:space="preserve"> </w:t>
      </w:r>
      <w:r w:rsidR="00764D32" w:rsidRPr="007504F3">
        <w:t xml:space="preserve"> </w:t>
      </w:r>
      <w:r w:rsidRPr="007504F3">
        <w:t>It was generally felt that physicians in small practices would have difficulty organizing and managing the desired shared services as a new entity; the start-up costs and required expertise required were viewed as particular challenges.</w:t>
      </w:r>
      <w:r w:rsidRPr="007504F3">
        <w:rPr>
          <w:b/>
        </w:rPr>
        <w:t xml:space="preserve"> </w:t>
      </w:r>
      <w:r w:rsidRPr="007504F3">
        <w:t>It was generally agreed that these services could be provided by a trusted entity, that had demonstrated expertise; but</w:t>
      </w:r>
      <w:r w:rsidR="00764D32" w:rsidRPr="007504F3">
        <w:t xml:space="preserve"> </w:t>
      </w:r>
      <w:r w:rsidRPr="007504F3">
        <w:t>perceptions of the</w:t>
      </w:r>
      <w:r w:rsidR="008C59B1" w:rsidRPr="007504F3">
        <w:t xml:space="preserve"> desired </w:t>
      </w:r>
      <w:r w:rsidRPr="007504F3">
        <w:t>“</w:t>
      </w:r>
      <w:r w:rsidR="008C59B1" w:rsidRPr="007504F3">
        <w:t>host</w:t>
      </w:r>
      <w:r w:rsidRPr="007504F3">
        <w:t>”</w:t>
      </w:r>
      <w:r w:rsidR="008C59B1" w:rsidRPr="007504F3">
        <w:t xml:space="preserve"> organization to organize and manage the services differed for each borough. </w:t>
      </w:r>
    </w:p>
    <w:p w:rsidR="00811D92" w:rsidRPr="007504F3" w:rsidRDefault="00811D92" w:rsidP="00811D92">
      <w:pPr>
        <w:pStyle w:val="ListParagraph"/>
        <w:numPr>
          <w:ilvl w:val="0"/>
          <w:numId w:val="5"/>
        </w:numPr>
        <w:spacing w:before="120" w:after="0" w:line="240" w:lineRule="auto"/>
        <w:rPr>
          <w:b/>
        </w:rPr>
      </w:pPr>
      <w:r w:rsidRPr="007504F3">
        <w:rPr>
          <w:b/>
        </w:rPr>
        <w:t xml:space="preserve">Host Organizations: </w:t>
      </w:r>
    </w:p>
    <w:p w:rsidR="00811D92" w:rsidRPr="007504F3" w:rsidRDefault="00811D92" w:rsidP="00811D92">
      <w:pPr>
        <w:pStyle w:val="ListParagraph"/>
        <w:numPr>
          <w:ilvl w:val="1"/>
          <w:numId w:val="5"/>
        </w:numPr>
        <w:spacing w:before="120" w:after="0" w:line="240" w:lineRule="auto"/>
      </w:pPr>
      <w:r w:rsidRPr="007504F3">
        <w:t>IPAs</w:t>
      </w:r>
      <w:r w:rsidR="008C59B1" w:rsidRPr="007504F3">
        <w:t xml:space="preserve">: </w:t>
      </w:r>
      <w:r w:rsidR="005F30AB" w:rsidRPr="007504F3">
        <w:t xml:space="preserve">Certain boroughs </w:t>
      </w:r>
      <w:r w:rsidR="005F303A" w:rsidRPr="007504F3">
        <w:t>identified</w:t>
      </w:r>
      <w:r w:rsidR="005F30AB" w:rsidRPr="007504F3">
        <w:t xml:space="preserve"> IPAs as potential hosts, but </w:t>
      </w:r>
      <w:r w:rsidR="005F303A" w:rsidRPr="007504F3">
        <w:t xml:space="preserve">most </w:t>
      </w:r>
      <w:r w:rsidR="005F30AB" w:rsidRPr="007504F3">
        <w:t xml:space="preserve">saw their current role as limited only to </w:t>
      </w:r>
      <w:r w:rsidR="005F303A" w:rsidRPr="007504F3">
        <w:t xml:space="preserve">negotiating fee-for-service payment rates with payers, noted substantial </w:t>
      </w:r>
      <w:r w:rsidR="00843B08" w:rsidRPr="007504F3">
        <w:t>difference</w:t>
      </w:r>
      <w:r w:rsidR="005F303A" w:rsidRPr="007504F3">
        <w:t>s</w:t>
      </w:r>
      <w:r w:rsidR="00843B08" w:rsidRPr="007504F3">
        <w:t xml:space="preserve"> in </w:t>
      </w:r>
      <w:r w:rsidR="005F303A" w:rsidRPr="007504F3">
        <w:t>the capabilities of</w:t>
      </w:r>
      <w:r w:rsidR="00843B08" w:rsidRPr="007504F3">
        <w:t xml:space="preserve"> various IPAs. </w:t>
      </w:r>
    </w:p>
    <w:p w:rsidR="00811D92" w:rsidRPr="007504F3" w:rsidRDefault="00811D92" w:rsidP="00811D92">
      <w:pPr>
        <w:pStyle w:val="ListParagraph"/>
        <w:numPr>
          <w:ilvl w:val="1"/>
          <w:numId w:val="5"/>
        </w:numPr>
        <w:spacing w:before="120" w:after="0" w:line="240" w:lineRule="auto"/>
      </w:pPr>
      <w:r w:rsidRPr="007504F3">
        <w:t>Hospital (local to each borough)</w:t>
      </w:r>
      <w:r w:rsidR="008C59B1" w:rsidRPr="007504F3">
        <w:t xml:space="preserve">: </w:t>
      </w:r>
      <w:r w:rsidR="005F30AB" w:rsidRPr="007504F3">
        <w:t xml:space="preserve">Two of the boroughs indicated </w:t>
      </w:r>
      <w:r w:rsidR="005F303A" w:rsidRPr="007504F3">
        <w:t>that they might be comfortable receiving services from</w:t>
      </w:r>
      <w:r w:rsidR="005F30AB" w:rsidRPr="007504F3">
        <w:t xml:space="preserve"> hospitals in their areas </w:t>
      </w:r>
    </w:p>
    <w:p w:rsidR="008C59B1" w:rsidRPr="007504F3" w:rsidRDefault="00811D92" w:rsidP="00811D92">
      <w:pPr>
        <w:pStyle w:val="ListParagraph"/>
        <w:numPr>
          <w:ilvl w:val="1"/>
          <w:numId w:val="5"/>
        </w:numPr>
        <w:spacing w:before="120" w:after="0" w:line="240" w:lineRule="auto"/>
      </w:pPr>
      <w:r w:rsidRPr="007504F3">
        <w:t>Medical Societies</w:t>
      </w:r>
      <w:r w:rsidR="008C59B1" w:rsidRPr="007504F3">
        <w:t xml:space="preserve">: </w:t>
      </w:r>
      <w:r w:rsidR="00A66589" w:rsidRPr="007504F3">
        <w:t>One of boroughs indicated the medical s</w:t>
      </w:r>
      <w:r w:rsidR="005F30AB" w:rsidRPr="007504F3">
        <w:t>ocieties</w:t>
      </w:r>
      <w:r w:rsidR="005F303A" w:rsidRPr="007504F3">
        <w:t xml:space="preserve"> (the statewide specialty societies and county</w:t>
      </w:r>
      <w:r w:rsidR="00A66589" w:rsidRPr="007504F3">
        <w:t xml:space="preserve"> medical societies) as</w:t>
      </w:r>
      <w:r w:rsidR="005F30AB" w:rsidRPr="007504F3">
        <w:t xml:space="preserve"> potential host</w:t>
      </w:r>
      <w:r w:rsidR="00A66589" w:rsidRPr="007504F3">
        <w:t xml:space="preserve"> organizations</w:t>
      </w:r>
      <w:r w:rsidR="005F30AB" w:rsidRPr="007504F3">
        <w:t xml:space="preserve"> due to their trusted relationship with providers in the borough. </w:t>
      </w:r>
    </w:p>
    <w:p w:rsidR="00811D92" w:rsidRPr="007504F3" w:rsidRDefault="00811D92" w:rsidP="00811D92">
      <w:pPr>
        <w:pStyle w:val="ListParagraph"/>
        <w:numPr>
          <w:ilvl w:val="1"/>
          <w:numId w:val="5"/>
        </w:numPr>
        <w:spacing w:before="120" w:after="0" w:line="240" w:lineRule="auto"/>
      </w:pPr>
      <w:r w:rsidRPr="007504F3">
        <w:t>Government Entity (</w:t>
      </w:r>
      <w:proofErr w:type="spellStart"/>
      <w:r w:rsidR="00A66589" w:rsidRPr="007504F3">
        <w:t>eg</w:t>
      </w:r>
      <w:proofErr w:type="spellEnd"/>
      <w:r w:rsidR="00A66589" w:rsidRPr="007504F3">
        <w:t xml:space="preserve">. NYC </w:t>
      </w:r>
      <w:r w:rsidRPr="007504F3">
        <w:t>Health Department)</w:t>
      </w:r>
      <w:r w:rsidR="005F30AB" w:rsidRPr="007504F3">
        <w:t>: Certain boroughs surfaced a government entity</w:t>
      </w:r>
      <w:r w:rsidR="00A66589" w:rsidRPr="007504F3">
        <w:t xml:space="preserve"> (specifically citing</w:t>
      </w:r>
      <w:r w:rsidR="005F30AB" w:rsidRPr="007504F3">
        <w:t xml:space="preserve"> NYC REACH</w:t>
      </w:r>
      <w:r w:rsidR="00A66589" w:rsidRPr="007504F3">
        <w:t>)</w:t>
      </w:r>
      <w:r w:rsidR="005F30AB" w:rsidRPr="007504F3">
        <w:t xml:space="preserve"> as a potential host, but recognized their role may be limited because of funding constraints and limited resources.</w:t>
      </w:r>
    </w:p>
    <w:p w:rsidR="00843B08" w:rsidRPr="007504F3" w:rsidRDefault="00843B08" w:rsidP="00811D92">
      <w:pPr>
        <w:pStyle w:val="ListParagraph"/>
        <w:numPr>
          <w:ilvl w:val="1"/>
          <w:numId w:val="5"/>
        </w:numPr>
        <w:spacing w:before="120" w:after="0" w:line="240" w:lineRule="auto"/>
      </w:pPr>
      <w:r w:rsidRPr="007504F3">
        <w:t xml:space="preserve">Central Service Organization: One </w:t>
      </w:r>
      <w:r w:rsidR="00470CA7" w:rsidRPr="007504F3">
        <w:t>group suggested</w:t>
      </w:r>
      <w:r w:rsidRPr="007504F3">
        <w:t xml:space="preserve"> a </w:t>
      </w:r>
      <w:r w:rsidR="00470CA7" w:rsidRPr="007504F3">
        <w:t>“</w:t>
      </w:r>
      <w:r w:rsidRPr="007504F3">
        <w:t>pay as you use</w:t>
      </w:r>
      <w:r w:rsidR="00470CA7" w:rsidRPr="007504F3">
        <w:t>”</w:t>
      </w:r>
      <w:r w:rsidRPr="007504F3">
        <w:t xml:space="preserve"> model where an umbrella organization would have the suite of services and you could just pay when you used a certain service, similar to a time-share model. </w:t>
      </w:r>
    </w:p>
    <w:p w:rsidR="00722576" w:rsidRPr="007504F3" w:rsidRDefault="00722576" w:rsidP="00366092">
      <w:pPr>
        <w:spacing w:before="120" w:after="0" w:line="240" w:lineRule="auto"/>
        <w:rPr>
          <w:b/>
          <w:u w:val="single"/>
        </w:rPr>
      </w:pPr>
      <w:r w:rsidRPr="007504F3">
        <w:rPr>
          <w:b/>
          <w:u w:val="single"/>
        </w:rPr>
        <w:t>Next Steps:</w:t>
      </w:r>
      <w:r w:rsidR="00843B08" w:rsidRPr="007504F3">
        <w:rPr>
          <w:b/>
          <w:u w:val="single"/>
        </w:rPr>
        <w:t xml:space="preserve"> </w:t>
      </w:r>
    </w:p>
    <w:p w:rsidR="00843B08" w:rsidRPr="007504F3" w:rsidRDefault="00470CA7" w:rsidP="007504F3">
      <w:pPr>
        <w:pStyle w:val="ListParagraph"/>
        <w:numPr>
          <w:ilvl w:val="1"/>
          <w:numId w:val="5"/>
        </w:numPr>
        <w:spacing w:after="0" w:line="240" w:lineRule="auto"/>
      </w:pPr>
      <w:r w:rsidRPr="007504F3">
        <w:t>NYC-PHIP will organize a w</w:t>
      </w:r>
      <w:r w:rsidR="00843B08" w:rsidRPr="007504F3">
        <w:t>ebinar, in early</w:t>
      </w:r>
      <w:r w:rsidR="003F6249">
        <w:t xml:space="preserve">-mid </w:t>
      </w:r>
      <w:r w:rsidR="00843B08" w:rsidRPr="007504F3">
        <w:t xml:space="preserve">October, with </w:t>
      </w:r>
      <w:r w:rsidRPr="007504F3">
        <w:t xml:space="preserve">leaders of the </w:t>
      </w:r>
      <w:r w:rsidR="00843B08" w:rsidRPr="007504F3">
        <w:t>Adirondacks POD</w:t>
      </w:r>
      <w:r w:rsidRPr="007504F3">
        <w:t>,</w:t>
      </w:r>
      <w:r w:rsidR="00843B08" w:rsidRPr="007504F3">
        <w:t xml:space="preserve"> to discuss the</w:t>
      </w:r>
      <w:r w:rsidRPr="007504F3">
        <w:t>ir</w:t>
      </w:r>
      <w:r w:rsidR="00843B08" w:rsidRPr="007504F3">
        <w:t xml:space="preserve"> shared services model,</w:t>
      </w:r>
      <w:r w:rsidRPr="007504F3">
        <w:t xml:space="preserve"> its </w:t>
      </w:r>
      <w:r w:rsidR="00843B08" w:rsidRPr="007504F3">
        <w:t>successes and challenges</w:t>
      </w:r>
    </w:p>
    <w:p w:rsidR="005F303A" w:rsidRPr="007504F3" w:rsidRDefault="00470CA7" w:rsidP="00470CA7">
      <w:pPr>
        <w:pStyle w:val="ListParagraph"/>
        <w:numPr>
          <w:ilvl w:val="1"/>
          <w:numId w:val="5"/>
        </w:numPr>
        <w:spacing w:before="120" w:after="0" w:line="240" w:lineRule="auto"/>
      </w:pPr>
      <w:r w:rsidRPr="007504F3">
        <w:t>An analytic r</w:t>
      </w:r>
      <w:r w:rsidR="00843B08" w:rsidRPr="007504F3">
        <w:t xml:space="preserve">eport </w:t>
      </w:r>
      <w:r w:rsidR="00FB19B4">
        <w:t>will</w:t>
      </w:r>
      <w:r w:rsidRPr="007504F3">
        <w:t xml:space="preserve"> be developed during the Fall-</w:t>
      </w:r>
      <w:r w:rsidR="00843B08" w:rsidRPr="007504F3">
        <w:t xml:space="preserve">Winter, </w:t>
      </w:r>
      <w:r w:rsidRPr="007504F3">
        <w:t xml:space="preserve">reviewing the concept of shared services in more detail, noting key features in the </w:t>
      </w:r>
      <w:r w:rsidR="00843B08" w:rsidRPr="007504F3">
        <w:t xml:space="preserve">design </w:t>
      </w:r>
      <w:r w:rsidRPr="007504F3">
        <w:t xml:space="preserve">of such arrangements </w:t>
      </w:r>
      <w:r w:rsidR="00843B08" w:rsidRPr="007504F3">
        <w:t>and potential</w:t>
      </w:r>
      <w:r w:rsidRPr="007504F3">
        <w:t>ly leading to one or more</w:t>
      </w:r>
      <w:r w:rsidR="00843B08" w:rsidRPr="007504F3">
        <w:t xml:space="preserve"> pilot</w:t>
      </w:r>
      <w:r w:rsidRPr="007504F3">
        <w:t>s</w:t>
      </w:r>
      <w:r w:rsidR="00843B08" w:rsidRPr="007504F3">
        <w:t xml:space="preserve"> of shared services</w:t>
      </w:r>
      <w:r w:rsidRPr="007504F3">
        <w:t xml:space="preserve"> for small practices</w:t>
      </w:r>
      <w:r w:rsidR="00843B08" w:rsidRPr="007504F3">
        <w:t xml:space="preserve"> in N</w:t>
      </w:r>
      <w:r w:rsidR="003F6249">
        <w:t>YC</w:t>
      </w:r>
      <w:r w:rsidRPr="007504F3">
        <w:t>.</w:t>
      </w:r>
    </w:p>
    <w:sectPr w:rsidR="005F303A" w:rsidRPr="007504F3" w:rsidSect="00704C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D4" w:rsidRDefault="00BB30D4" w:rsidP="005F30AB">
      <w:pPr>
        <w:spacing w:after="0" w:line="240" w:lineRule="auto"/>
      </w:pPr>
      <w:r>
        <w:separator/>
      </w:r>
    </w:p>
  </w:endnote>
  <w:endnote w:type="continuationSeparator" w:id="0">
    <w:p w:rsidR="00BB30D4" w:rsidRDefault="00BB30D4" w:rsidP="005F3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D" w:rsidRDefault="00B12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190122"/>
      <w:docPartObj>
        <w:docPartGallery w:val="Page Numbers (Bottom of Page)"/>
        <w:docPartUnique/>
      </w:docPartObj>
    </w:sdtPr>
    <w:sdtContent>
      <w:sdt>
        <w:sdtPr>
          <w:id w:val="860082579"/>
          <w:docPartObj>
            <w:docPartGallery w:val="Page Numbers (Top of Page)"/>
            <w:docPartUnique/>
          </w:docPartObj>
        </w:sdtPr>
        <w:sdtContent>
          <w:p w:rsidR="005F30AB" w:rsidRDefault="005F30AB">
            <w:pPr>
              <w:pStyle w:val="Footer"/>
              <w:jc w:val="right"/>
            </w:pPr>
            <w:r>
              <w:t xml:space="preserve">Page </w:t>
            </w:r>
            <w:r w:rsidR="00704CE9">
              <w:rPr>
                <w:b/>
                <w:bCs/>
                <w:sz w:val="24"/>
                <w:szCs w:val="24"/>
              </w:rPr>
              <w:fldChar w:fldCharType="begin"/>
            </w:r>
            <w:r>
              <w:rPr>
                <w:b/>
                <w:bCs/>
              </w:rPr>
              <w:instrText xml:space="preserve"> PAGE </w:instrText>
            </w:r>
            <w:r w:rsidR="00704CE9">
              <w:rPr>
                <w:b/>
                <w:bCs/>
                <w:sz w:val="24"/>
                <w:szCs w:val="24"/>
              </w:rPr>
              <w:fldChar w:fldCharType="separate"/>
            </w:r>
            <w:r w:rsidR="00286E5B">
              <w:rPr>
                <w:b/>
                <w:bCs/>
                <w:noProof/>
              </w:rPr>
              <w:t>2</w:t>
            </w:r>
            <w:r w:rsidR="00704CE9">
              <w:rPr>
                <w:b/>
                <w:bCs/>
                <w:sz w:val="24"/>
                <w:szCs w:val="24"/>
              </w:rPr>
              <w:fldChar w:fldCharType="end"/>
            </w:r>
            <w:r>
              <w:t xml:space="preserve"> of </w:t>
            </w:r>
            <w:r w:rsidR="00704CE9">
              <w:rPr>
                <w:b/>
                <w:bCs/>
                <w:sz w:val="24"/>
                <w:szCs w:val="24"/>
              </w:rPr>
              <w:fldChar w:fldCharType="begin"/>
            </w:r>
            <w:r>
              <w:rPr>
                <w:b/>
                <w:bCs/>
              </w:rPr>
              <w:instrText xml:space="preserve"> NUMPAGES  </w:instrText>
            </w:r>
            <w:r w:rsidR="00704CE9">
              <w:rPr>
                <w:b/>
                <w:bCs/>
                <w:sz w:val="24"/>
                <w:szCs w:val="24"/>
              </w:rPr>
              <w:fldChar w:fldCharType="separate"/>
            </w:r>
            <w:r w:rsidR="00286E5B">
              <w:rPr>
                <w:b/>
                <w:bCs/>
                <w:noProof/>
              </w:rPr>
              <w:t>2</w:t>
            </w:r>
            <w:r w:rsidR="00704CE9">
              <w:rPr>
                <w:b/>
                <w:bCs/>
                <w:sz w:val="24"/>
                <w:szCs w:val="24"/>
              </w:rPr>
              <w:fldChar w:fldCharType="end"/>
            </w:r>
          </w:p>
        </w:sdtContent>
      </w:sdt>
    </w:sdtContent>
  </w:sdt>
  <w:p w:rsidR="005F30AB" w:rsidRDefault="005F30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D" w:rsidRDefault="00B12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D4" w:rsidRDefault="00BB30D4" w:rsidP="005F30AB">
      <w:pPr>
        <w:spacing w:after="0" w:line="240" w:lineRule="auto"/>
      </w:pPr>
      <w:r>
        <w:separator/>
      </w:r>
    </w:p>
  </w:footnote>
  <w:footnote w:type="continuationSeparator" w:id="0">
    <w:p w:rsidR="00BB30D4" w:rsidRDefault="00BB30D4" w:rsidP="005F3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D" w:rsidRDefault="00B12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D" w:rsidRDefault="00B12D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4D" w:rsidRDefault="00B12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B5C"/>
    <w:multiLevelType w:val="hybridMultilevel"/>
    <w:tmpl w:val="98FCA82A"/>
    <w:lvl w:ilvl="0" w:tplc="04090017">
      <w:start w:val="1"/>
      <w:numFmt w:val="lowerLetter"/>
      <w:lvlText w:val="%1)"/>
      <w:lvlJc w:val="left"/>
      <w:pPr>
        <w:ind w:left="1440" w:hanging="360"/>
      </w:pPr>
      <w:rPr>
        <w:rFonts w:hint="default"/>
        <w:b w:val="0"/>
        <w:i w:val="0"/>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B65656"/>
    <w:multiLevelType w:val="hybridMultilevel"/>
    <w:tmpl w:val="C02AC2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E73BF4"/>
    <w:multiLevelType w:val="hybridMultilevel"/>
    <w:tmpl w:val="EB3C2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5903DE"/>
    <w:multiLevelType w:val="hybridMultilevel"/>
    <w:tmpl w:val="BE4262DC"/>
    <w:lvl w:ilvl="0" w:tplc="3776F1D6">
      <w:start w:val="1"/>
      <w:numFmt w:val="decimal"/>
      <w:lvlText w:val="%1."/>
      <w:lvlJc w:val="left"/>
      <w:pPr>
        <w:ind w:left="1440" w:hanging="360"/>
      </w:pPr>
      <w:rPr>
        <w:rFonts w:ascii="Calibri" w:hAnsi="Calibri" w:hint="default"/>
        <w:b w:val="0"/>
        <w:i w:val="0"/>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DD3EF6"/>
    <w:multiLevelType w:val="hybridMultilevel"/>
    <w:tmpl w:val="2DAA30FA"/>
    <w:lvl w:ilvl="0" w:tplc="04090017">
      <w:start w:val="1"/>
      <w:numFmt w:val="lowerLetter"/>
      <w:lvlText w:val="%1)"/>
      <w:lvlJc w:val="left"/>
      <w:pPr>
        <w:ind w:left="1440" w:hanging="360"/>
      </w:pPr>
      <w:rPr>
        <w:rFonts w:hint="default"/>
        <w:b w:val="0"/>
        <w:i w:val="0"/>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9612C2"/>
    <w:multiLevelType w:val="hybridMultilevel"/>
    <w:tmpl w:val="30884342"/>
    <w:lvl w:ilvl="0" w:tplc="3776F1D6">
      <w:start w:val="1"/>
      <w:numFmt w:val="decimal"/>
      <w:lvlText w:val="%1."/>
      <w:lvlJc w:val="left"/>
      <w:pPr>
        <w:ind w:left="720" w:hanging="360"/>
      </w:pPr>
      <w:rPr>
        <w:rFonts w:ascii="Calibri" w:hAnsi="Calibri" w:hint="default"/>
        <w:b w:val="0"/>
        <w:i w:val="0"/>
        <w:sz w:val="22"/>
      </w:rPr>
    </w:lvl>
    <w:lvl w:ilvl="1" w:tplc="04090017">
      <w:start w:val="1"/>
      <w:numFmt w:val="lowerLetter"/>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46C50"/>
    <w:rsid w:val="000F6713"/>
    <w:rsid w:val="001106A4"/>
    <w:rsid w:val="00243607"/>
    <w:rsid w:val="00282897"/>
    <w:rsid w:val="00286E5B"/>
    <w:rsid w:val="00297A48"/>
    <w:rsid w:val="002A191C"/>
    <w:rsid w:val="00312132"/>
    <w:rsid w:val="00366092"/>
    <w:rsid w:val="003F6249"/>
    <w:rsid w:val="00470CA7"/>
    <w:rsid w:val="004B5BB9"/>
    <w:rsid w:val="005F303A"/>
    <w:rsid w:val="005F30AB"/>
    <w:rsid w:val="006F000E"/>
    <w:rsid w:val="00704CE9"/>
    <w:rsid w:val="00722576"/>
    <w:rsid w:val="007504F3"/>
    <w:rsid w:val="00764D32"/>
    <w:rsid w:val="00811D92"/>
    <w:rsid w:val="00843B08"/>
    <w:rsid w:val="00845FD0"/>
    <w:rsid w:val="00887AA5"/>
    <w:rsid w:val="008C59B1"/>
    <w:rsid w:val="00A66589"/>
    <w:rsid w:val="00A840C3"/>
    <w:rsid w:val="00AC775E"/>
    <w:rsid w:val="00B122C0"/>
    <w:rsid w:val="00B12D4D"/>
    <w:rsid w:val="00BB30D4"/>
    <w:rsid w:val="00BD2A4D"/>
    <w:rsid w:val="00BD5DFE"/>
    <w:rsid w:val="00C46C50"/>
    <w:rsid w:val="00CF45EA"/>
    <w:rsid w:val="00D3756D"/>
    <w:rsid w:val="00EF5F2A"/>
    <w:rsid w:val="00F43E06"/>
    <w:rsid w:val="00F55A4F"/>
    <w:rsid w:val="00FB1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50"/>
    <w:pPr>
      <w:ind w:left="720"/>
      <w:contextualSpacing/>
    </w:pPr>
  </w:style>
  <w:style w:type="paragraph" w:styleId="Header">
    <w:name w:val="header"/>
    <w:basedOn w:val="Normal"/>
    <w:link w:val="HeaderChar"/>
    <w:uiPriority w:val="99"/>
    <w:unhideWhenUsed/>
    <w:rsid w:val="005F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AB"/>
  </w:style>
  <w:style w:type="paragraph" w:styleId="Footer">
    <w:name w:val="footer"/>
    <w:basedOn w:val="Normal"/>
    <w:link w:val="FooterChar"/>
    <w:uiPriority w:val="99"/>
    <w:unhideWhenUsed/>
    <w:rsid w:val="005F3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AB"/>
  </w:style>
  <w:style w:type="character" w:styleId="CommentReference">
    <w:name w:val="annotation reference"/>
    <w:basedOn w:val="DefaultParagraphFont"/>
    <w:uiPriority w:val="99"/>
    <w:semiHidden/>
    <w:unhideWhenUsed/>
    <w:rsid w:val="00887AA5"/>
    <w:rPr>
      <w:sz w:val="16"/>
      <w:szCs w:val="16"/>
    </w:rPr>
  </w:style>
  <w:style w:type="paragraph" w:styleId="CommentText">
    <w:name w:val="annotation text"/>
    <w:basedOn w:val="Normal"/>
    <w:link w:val="CommentTextChar"/>
    <w:uiPriority w:val="99"/>
    <w:semiHidden/>
    <w:unhideWhenUsed/>
    <w:rsid w:val="00887AA5"/>
    <w:pPr>
      <w:spacing w:line="240" w:lineRule="auto"/>
    </w:pPr>
    <w:rPr>
      <w:sz w:val="20"/>
      <w:szCs w:val="20"/>
    </w:rPr>
  </w:style>
  <w:style w:type="character" w:customStyle="1" w:styleId="CommentTextChar">
    <w:name w:val="Comment Text Char"/>
    <w:basedOn w:val="DefaultParagraphFont"/>
    <w:link w:val="CommentText"/>
    <w:uiPriority w:val="99"/>
    <w:semiHidden/>
    <w:rsid w:val="00887AA5"/>
    <w:rPr>
      <w:sz w:val="20"/>
      <w:szCs w:val="20"/>
    </w:rPr>
  </w:style>
  <w:style w:type="paragraph" w:styleId="CommentSubject">
    <w:name w:val="annotation subject"/>
    <w:basedOn w:val="CommentText"/>
    <w:next w:val="CommentText"/>
    <w:link w:val="CommentSubjectChar"/>
    <w:uiPriority w:val="99"/>
    <w:semiHidden/>
    <w:unhideWhenUsed/>
    <w:rsid w:val="00887AA5"/>
    <w:rPr>
      <w:b/>
      <w:bCs/>
    </w:rPr>
  </w:style>
  <w:style w:type="character" w:customStyle="1" w:styleId="CommentSubjectChar">
    <w:name w:val="Comment Subject Char"/>
    <w:basedOn w:val="CommentTextChar"/>
    <w:link w:val="CommentSubject"/>
    <w:uiPriority w:val="99"/>
    <w:semiHidden/>
    <w:rsid w:val="00887AA5"/>
    <w:rPr>
      <w:b/>
      <w:bCs/>
      <w:sz w:val="20"/>
      <w:szCs w:val="20"/>
    </w:rPr>
  </w:style>
  <w:style w:type="paragraph" w:styleId="BalloonText">
    <w:name w:val="Balloon Text"/>
    <w:basedOn w:val="Normal"/>
    <w:link w:val="BalloonTextChar"/>
    <w:uiPriority w:val="99"/>
    <w:semiHidden/>
    <w:unhideWhenUsed/>
    <w:rsid w:val="0088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50"/>
    <w:pPr>
      <w:ind w:left="720"/>
      <w:contextualSpacing/>
    </w:pPr>
  </w:style>
  <w:style w:type="paragraph" w:styleId="Header">
    <w:name w:val="header"/>
    <w:basedOn w:val="Normal"/>
    <w:link w:val="HeaderChar"/>
    <w:uiPriority w:val="99"/>
    <w:unhideWhenUsed/>
    <w:rsid w:val="005F3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AB"/>
  </w:style>
  <w:style w:type="paragraph" w:styleId="Footer">
    <w:name w:val="footer"/>
    <w:basedOn w:val="Normal"/>
    <w:link w:val="FooterChar"/>
    <w:uiPriority w:val="99"/>
    <w:unhideWhenUsed/>
    <w:rsid w:val="005F3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0AB"/>
  </w:style>
  <w:style w:type="character" w:styleId="CommentReference">
    <w:name w:val="annotation reference"/>
    <w:basedOn w:val="DefaultParagraphFont"/>
    <w:uiPriority w:val="99"/>
    <w:semiHidden/>
    <w:unhideWhenUsed/>
    <w:rsid w:val="00887AA5"/>
    <w:rPr>
      <w:sz w:val="16"/>
      <w:szCs w:val="16"/>
    </w:rPr>
  </w:style>
  <w:style w:type="paragraph" w:styleId="CommentText">
    <w:name w:val="annotation text"/>
    <w:basedOn w:val="Normal"/>
    <w:link w:val="CommentTextChar"/>
    <w:uiPriority w:val="99"/>
    <w:semiHidden/>
    <w:unhideWhenUsed/>
    <w:rsid w:val="00887AA5"/>
    <w:pPr>
      <w:spacing w:line="240" w:lineRule="auto"/>
    </w:pPr>
    <w:rPr>
      <w:sz w:val="20"/>
      <w:szCs w:val="20"/>
    </w:rPr>
  </w:style>
  <w:style w:type="character" w:customStyle="1" w:styleId="CommentTextChar">
    <w:name w:val="Comment Text Char"/>
    <w:basedOn w:val="DefaultParagraphFont"/>
    <w:link w:val="CommentText"/>
    <w:uiPriority w:val="99"/>
    <w:semiHidden/>
    <w:rsid w:val="00887AA5"/>
    <w:rPr>
      <w:sz w:val="20"/>
      <w:szCs w:val="20"/>
    </w:rPr>
  </w:style>
  <w:style w:type="paragraph" w:styleId="CommentSubject">
    <w:name w:val="annotation subject"/>
    <w:basedOn w:val="CommentText"/>
    <w:next w:val="CommentText"/>
    <w:link w:val="CommentSubjectChar"/>
    <w:uiPriority w:val="99"/>
    <w:semiHidden/>
    <w:unhideWhenUsed/>
    <w:rsid w:val="00887AA5"/>
    <w:rPr>
      <w:b/>
      <w:bCs/>
    </w:rPr>
  </w:style>
  <w:style w:type="character" w:customStyle="1" w:styleId="CommentSubjectChar">
    <w:name w:val="Comment Subject Char"/>
    <w:basedOn w:val="CommentTextChar"/>
    <w:link w:val="CommentSubject"/>
    <w:uiPriority w:val="99"/>
    <w:semiHidden/>
    <w:rsid w:val="00887AA5"/>
    <w:rPr>
      <w:b/>
      <w:bCs/>
      <w:sz w:val="20"/>
      <w:szCs w:val="20"/>
    </w:rPr>
  </w:style>
  <w:style w:type="paragraph" w:styleId="BalloonText">
    <w:name w:val="Balloon Text"/>
    <w:basedOn w:val="Normal"/>
    <w:link w:val="BalloonTextChar"/>
    <w:uiPriority w:val="99"/>
    <w:semiHidden/>
    <w:unhideWhenUsed/>
    <w:rsid w:val="0088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gburke</dc:creator>
  <cp:lastModifiedBy>Anthony Battista</cp:lastModifiedBy>
  <cp:revision>2</cp:revision>
  <cp:lastPrinted>2016-08-22T14:47:00Z</cp:lastPrinted>
  <dcterms:created xsi:type="dcterms:W3CDTF">2016-10-05T03:44:00Z</dcterms:created>
  <dcterms:modified xsi:type="dcterms:W3CDTF">2016-10-05T03:44:00Z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